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0B32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0"/>
        <w:jc w:val="center"/>
        <w:rPr>
          <w:rFonts w:hint="eastAsia" w:ascii="黑体" w:hAnsi="黑体" w:eastAsia="黑体" w:cs="黑体"/>
          <w:b/>
          <w:bCs/>
          <w:i w:val="0"/>
          <w:iCs w:val="0"/>
          <w:caps w:val="0"/>
          <w:color w:val="2A2F35"/>
          <w:spacing w:val="0"/>
          <w:sz w:val="36"/>
          <w:szCs w:val="36"/>
          <w:shd w:val="clear" w:fill="FFFFFF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2A2F35"/>
          <w:spacing w:val="0"/>
          <w:sz w:val="36"/>
          <w:szCs w:val="36"/>
          <w:shd w:val="clear" w:fill="FFFFFF"/>
        </w:rPr>
        <w:t>徐州医科大学附属医院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2A2F35"/>
          <w:spacing w:val="0"/>
          <w:sz w:val="36"/>
          <w:szCs w:val="36"/>
          <w:shd w:val="clear" w:fill="FFFFFF"/>
          <w:lang w:val="en-US" w:eastAsia="zh-CN"/>
        </w:rPr>
        <w:t>申办方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2A2F35"/>
          <w:spacing w:val="0"/>
          <w:sz w:val="36"/>
          <w:szCs w:val="36"/>
          <w:shd w:val="clear" w:fill="FFFFFF"/>
        </w:rPr>
        <w:t>发起的临床研究</w:t>
      </w:r>
    </w:p>
    <w:p w14:paraId="47009D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2A2F35"/>
          <w:spacing w:val="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2A2F35"/>
          <w:spacing w:val="0"/>
          <w:sz w:val="36"/>
          <w:szCs w:val="36"/>
          <w:shd w:val="clear" w:fill="FFFFFF"/>
        </w:rPr>
        <w:t>工作指引</w:t>
      </w:r>
    </w:p>
    <w:p w14:paraId="06C837A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sz w:val="28"/>
          <w:szCs w:val="28"/>
          <w:shd w:val="clear" w:fill="FFFFFF"/>
        </w:rPr>
        <w:t>一、立项申请</w:t>
      </w:r>
    </w:p>
    <w:p w14:paraId="75EC817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申办方或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项目负责人向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科技处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提交电子版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立项申请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资料（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具体材料详见附件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）至xzkj2297@163.com邮箱，发送邮件主题：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申办方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+项目负责人+项目简称初审/终版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，电子版回复并定稿后，递交《徐州医科大学附属医院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申办方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发起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临床研究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立项申请表》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《徐州医科大学附属医院医学伦理委员会科研立项项目伦理审查申请》（纸质版1份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项目负责人签字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至科技处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（地点：本部12号楼23楼2323办公室）</w:t>
      </w:r>
    </w:p>
    <w:p w14:paraId="608212F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二、国家卫健委临床研究在线登记</w:t>
      </w:r>
    </w:p>
    <w:p w14:paraId="4CCA453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登记范围：所有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申办方发起的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临床研究（本中心为分中心的无需登记）</w:t>
      </w:r>
    </w:p>
    <w:p w14:paraId="32CBC72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国家医学研究登记备案信息系统网址：</w:t>
      </w:r>
      <w:r>
        <w:rPr>
          <w:rFonts w:hint="eastAsia" w:ascii="宋体" w:hAnsi="宋体" w:eastAsia="宋体" w:cs="宋体"/>
          <w:i w:val="0"/>
          <w:iCs w:val="0"/>
          <w:caps w:val="0"/>
          <w:color w:val="0782C1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782C1"/>
          <w:spacing w:val="0"/>
          <w:sz w:val="28"/>
          <w:szCs w:val="28"/>
          <w:u w:val="none"/>
          <w:shd w:val="clear" w:fill="FFFFFF"/>
        </w:rPr>
        <w:instrText xml:space="preserve"> HYPERLINK "https://www.medicalresearch.org.cn/login" \t "https://oa.jsxyfy.com.cn/seeyon/_blank"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0782C1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fill="FFFFFF"/>
        </w:rPr>
        <w:t>https://www.medicalresearch.org.cn/login</w:t>
      </w:r>
      <w:r>
        <w:rPr>
          <w:rFonts w:hint="eastAsia" w:ascii="宋体" w:hAnsi="宋体" w:eastAsia="宋体" w:cs="宋体"/>
          <w:i w:val="0"/>
          <w:iCs w:val="0"/>
          <w:caps w:val="0"/>
          <w:color w:val="0782C1"/>
          <w:spacing w:val="0"/>
          <w:sz w:val="28"/>
          <w:szCs w:val="28"/>
          <w:u w:val="none"/>
          <w:shd w:val="clear" w:fill="FFFFFF"/>
        </w:rPr>
        <w:fldChar w:fldCharType="end"/>
      </w:r>
    </w:p>
    <w:p w14:paraId="422DBF8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44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账号：一般为项目负责人手机号；</w:t>
      </w:r>
    </w:p>
    <w:p w14:paraId="3205C05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440"/>
        <w:jc w:val="left"/>
        <w:rPr>
          <w:rFonts w:hint="eastAsia" w:ascii="微软雅黑" w:hAnsi="微软雅黑" w:eastAsia="宋体" w:cs="微软雅黑"/>
          <w:i w:val="0"/>
          <w:iCs w:val="0"/>
          <w:caps w:val="0"/>
          <w:color w:val="2A2F35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初始密码：项目负责人名字首字母小写缩写_123456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例如项目负责人为张三，初始密码为zs_123456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 （登录后可自行修改密码）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。</w:t>
      </w:r>
    </w:p>
    <w:p w14:paraId="4AEBFCC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如项目负责人无账号，可向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科技处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申请：填写《账号用户创建信息表》发至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xzkj2297@163.com邮箱，待邮件回复后获取账号和密码。</w:t>
      </w:r>
    </w:p>
    <w:p w14:paraId="1B66C1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default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系统上传文件请注意，如图：</w:t>
      </w: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drawing>
          <wp:inline distT="0" distB="0" distL="114300" distR="114300">
            <wp:extent cx="5262880" cy="2490470"/>
            <wp:effectExtent l="0" t="0" r="13970" b="5080"/>
            <wp:docPr id="39" name="图片 39" descr="1740040346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174004034643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49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FC7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三、科学性审查</w:t>
      </w:r>
    </w:p>
    <w:p w14:paraId="4166BAD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2"/>
        <w:jc w:val="left"/>
        <w:rPr>
          <w:rFonts w:hint="default" w:ascii="Times New Roman" w:hAnsi="Times New Roman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如临床研究设计类型为“观察性研究”，可不强制经过科学性审查，在填报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  <w:lang w:val="en-US" w:eastAsia="zh-CN" w:bidi="ar"/>
        </w:rPr>
        <w:t>国家医学研究登记备案信息系统</w:t>
      </w:r>
      <w:r>
        <w:rPr>
          <w:rFonts w:hint="eastAsia" w:ascii="Times New Roman" w:hAnsi="Times New Roman" w:cs="Times New Roman"/>
          <w:color w:val="000000"/>
          <w:kern w:val="0"/>
          <w:sz w:val="28"/>
          <w:szCs w:val="28"/>
          <w:lang w:val="en-US" w:eastAsia="zh-CN" w:bidi="ar"/>
        </w:rPr>
        <w:t>时选择“否”，如图：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243830" cy="2715260"/>
            <wp:effectExtent l="0" t="0" r="13970" b="8890"/>
            <wp:docPr id="40" name="图片 2" descr="1739411322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" descr="173941132257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3830" cy="271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86B88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cs="Times New Roman"/>
          <w:color w:val="000000"/>
          <w:kern w:val="0"/>
          <w:sz w:val="28"/>
          <w:szCs w:val="28"/>
          <w:lang w:val="en-US" w:eastAsia="zh-CN" w:bidi="ar"/>
        </w:rPr>
        <w:t>如临床研究设计</w:t>
      </w:r>
      <w:r>
        <w:rPr>
          <w:rFonts w:hint="eastAsia" w:ascii="Times New Roman" w:hAnsi="Times New Roman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类型为</w:t>
      </w:r>
      <w:r>
        <w:rPr>
          <w:rFonts w:hint="eastAsia" w:ascii="Times New Roman" w:hAnsi="Times New Roma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“干预性研究”</w:t>
      </w:r>
      <w:r>
        <w:rPr>
          <w:rFonts w:hint="eastAsia" w:ascii="Times New Roman" w:hAnsi="Times New Roman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需经过科学性审查，在填报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  <w:lang w:val="en-US" w:eastAsia="zh-CN" w:bidi="ar"/>
        </w:rPr>
        <w:t>国家医学研究登记备案信息系统</w:t>
      </w:r>
      <w:r>
        <w:rPr>
          <w:rFonts w:hint="eastAsia" w:ascii="Times New Roman" w:hAnsi="Times New Roman" w:cs="Times New Roman"/>
          <w:color w:val="000000"/>
          <w:kern w:val="0"/>
          <w:sz w:val="28"/>
          <w:szCs w:val="28"/>
          <w:lang w:val="en-US" w:eastAsia="zh-CN" w:bidi="ar"/>
        </w:rPr>
        <w:t>时请选择“是”。</w:t>
      </w:r>
    </w:p>
    <w:p w14:paraId="7CADA9F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2"/>
        <w:jc w:val="left"/>
        <w:rPr>
          <w:rFonts w:hint="eastAsia" w:ascii="Times New Roman" w:hAnsi="Times New Roman" w:cs="Times New Roman"/>
          <w:color w:val="000000"/>
          <w:kern w:val="0"/>
          <w:sz w:val="28"/>
          <w:szCs w:val="28"/>
          <w:lang w:val="en-US" w:eastAsia="zh-CN" w:bidi="ar"/>
        </w:rPr>
      </w:pPr>
    </w:p>
    <w:p w14:paraId="6F4D60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2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学术委员会组织专家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在“国家医学研究登记备案信息系统”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开展科学性审查，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通过审查后，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国家医学研究登记备案系统项目状态显示“待伦理审查”，即可到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科技处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领取科学性审查纸质批件。</w:t>
      </w:r>
    </w:p>
    <w:p w14:paraId="0E976E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right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四、伦理审查</w:t>
      </w:r>
    </w:p>
    <w:p w14:paraId="21112DB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left="0" w:right="0" w:firstLine="561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科学性审查批件与科研立项伦理审查资料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伦理审查资料模板可在我院官网临床试验伦理委员会下载专区下载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https://www.jsxyfy.com/yxllwyh_xzzq_sbzxzq/）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一起报送伦理办公室，</w:t>
      </w:r>
    </w:p>
    <w:p w14:paraId="5731D9D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伦理办公室地址：12号楼5楼西南角（坐18/19号电梯出门右拐）</w:t>
      </w:r>
    </w:p>
    <w:p w14:paraId="0BFFB59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伦理办公室电话：85802291。</w:t>
      </w:r>
    </w:p>
    <w:p w14:paraId="16442B8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伦理审查结果及伦理批件领取：伦理办公室</w:t>
      </w:r>
    </w:p>
    <w:p w14:paraId="6378E58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Times New Roman" w:hAnsi="Times New Roma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材料整理及装订请按照我院官网伦理委员会要求，如图</w:t>
      </w:r>
      <w:r>
        <w:rPr>
          <w:rFonts w:hint="eastAsia" w:ascii="Times New Roman" w:hAnsi="Times New Roman" w:cs="Times New Roman"/>
          <w:color w:val="000000"/>
          <w:kern w:val="0"/>
          <w:sz w:val="28"/>
          <w:szCs w:val="28"/>
          <w:lang w:val="en-US" w:eastAsia="zh-CN" w:bidi="ar"/>
        </w:rPr>
        <w:t>：</w:t>
      </w:r>
      <w:r>
        <w:drawing>
          <wp:inline distT="0" distB="0" distL="114300" distR="114300">
            <wp:extent cx="5270500" cy="2777490"/>
            <wp:effectExtent l="0" t="0" r="6350" b="3810"/>
            <wp:docPr id="4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77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B9A0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五、启动申请</w:t>
      </w:r>
    </w:p>
    <w:p w14:paraId="04D6B61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88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为确保项目的执行质量和实施效率，对于干预性研究，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  <w:lang w:val="en-US" w:eastAsia="zh-CN"/>
        </w:rPr>
        <w:t>申办方或主要研究者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在研究启动前应当向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  <w:lang w:val="en-US" w:eastAsia="zh-CN"/>
        </w:rPr>
        <w:t>科技处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提交启动申请，并确保相关信息真实可信。</w:t>
      </w:r>
    </w:p>
    <w:p w14:paraId="24E2BA3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六、启动培训</w:t>
      </w:r>
    </w:p>
    <w:p w14:paraId="603FAD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88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  <w:lang w:val="en-US" w:eastAsia="zh-CN"/>
        </w:rPr>
        <w:t>申办方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应当确保研究团队成员进行充分培训，并对项目方案、操作流程和相关法规有深入的理解。确定角色和职责，明确培训内容并保存培训记录。</w:t>
      </w:r>
    </w:p>
    <w:p w14:paraId="45D7C12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七、项目开展</w:t>
      </w:r>
    </w:p>
    <w:p w14:paraId="1A1385D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88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研究者应当严格按照批准的方案开展临床研究，稳慎、积极推动临床研究开展，如实记录临床研究过程和结果并妥善保存，配合医院及国家行政部门完成对临床研究的监督检查。</w:t>
      </w:r>
    </w:p>
    <w:p w14:paraId="4D65D58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88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为确保临床研究的顺利进行，方案违背（PD）、严重不良事件（SAE）、研究进展报告、研究完成均需上报院伦理委员会，对于研究进展报告，应根据伦理意见上的“签发日期”和“年度/定期跟踪审查频率”，提前 1 个月递交年度/定期跟踪审查报告。例如，伦理批件上的批准日期是 2023-10-1，“年度/定期跟踪审查频率”为 1 年，则应在 2024-8-31提交第一次持续审查报告；2025-8-31 提交第二次持续审查报告。注意伦理批件上的批件有效期，如延长批件有效期，及时递交年度/定期跟踪审查报告来延长批件有效期。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  <w:lang w:val="en-US" w:eastAsia="zh-CN"/>
        </w:rPr>
        <w:t>申办方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每年应按照规定的时间和格式提交项目</w:t>
      </w:r>
      <w:r>
        <w:rPr>
          <w:rFonts w:hint="eastAsia" w:ascii="宋体" w:hAnsi="宋体" w:eastAsia="宋体" w:cs="宋体"/>
          <w:i w:val="0"/>
          <w:iCs w:val="0"/>
          <w:caps w:val="0"/>
          <w:color w:val="0782C1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782C1"/>
          <w:spacing w:val="0"/>
          <w:sz w:val="28"/>
          <w:szCs w:val="28"/>
          <w:u w:val="none"/>
          <w:shd w:val="clear" w:fill="FFFFFF"/>
        </w:rPr>
        <w:instrText xml:space="preserve"> HYPERLINK "https://pan.baidu.com/s/1muUeYjwWDzpgmYVtZ2rqMg?pwd=d5en" \t "https://oa.jsxyfy.com.cn/seeyon/_blank"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0782C1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u w:val="none"/>
          <w:shd w:val="clear" w:fill="FFFFFF"/>
        </w:rPr>
        <w:t>《</w:t>
      </w: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u w:val="none"/>
          <w:shd w:val="clear" w:fill="FFFFFF"/>
          <w:lang w:val="en-US" w:eastAsia="zh-CN"/>
        </w:rPr>
        <w:t>申办方</w:t>
      </w: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u w:val="none"/>
          <w:shd w:val="clear" w:fill="FFFFFF"/>
        </w:rPr>
        <w:t>发起的临床研究年度进展报告》</w:t>
      </w:r>
      <w:r>
        <w:rPr>
          <w:rFonts w:hint="eastAsia" w:ascii="宋体" w:hAnsi="宋体" w:eastAsia="宋体" w:cs="宋体"/>
          <w:i w:val="0"/>
          <w:iCs w:val="0"/>
          <w:caps w:val="0"/>
          <w:color w:val="0782C1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。</w:t>
      </w:r>
    </w:p>
    <w:p w14:paraId="06BB97F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sz w:val="28"/>
          <w:szCs w:val="28"/>
          <w:shd w:val="clear" w:fill="FFFFFF"/>
        </w:rPr>
        <w:t>上述内容，请同步在系统进行登记，如图：</w:t>
      </w:r>
    </w:p>
    <w:p w14:paraId="6C6B084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微软雅黑" w:hAnsi="微软雅黑" w:eastAsia="宋体" w:cs="微软雅黑"/>
          <w:i w:val="0"/>
          <w:iCs w:val="0"/>
          <w:caps w:val="0"/>
          <w:color w:val="2A2F35"/>
          <w:spacing w:val="0"/>
          <w:sz w:val="28"/>
          <w:szCs w:val="28"/>
          <w:lang w:eastAsia="zh-CN"/>
        </w:rPr>
      </w:pPr>
      <w:r>
        <w:rPr>
          <w:rFonts w:hint="eastAsia" w:ascii="微软雅黑" w:hAnsi="微软雅黑" w:eastAsia="宋体" w:cs="微软雅黑"/>
          <w:i w:val="0"/>
          <w:iCs w:val="0"/>
          <w:caps w:val="0"/>
          <w:color w:val="2A2F35"/>
          <w:spacing w:val="0"/>
          <w:sz w:val="28"/>
          <w:szCs w:val="28"/>
          <w:lang w:eastAsia="zh-CN"/>
        </w:rPr>
        <w:drawing>
          <wp:inline distT="0" distB="0" distL="114300" distR="114300">
            <wp:extent cx="5272405" cy="2631440"/>
            <wp:effectExtent l="0" t="0" r="4445" b="1651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63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760E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八、项目变更/修改</w:t>
      </w:r>
    </w:p>
    <w:p w14:paraId="6FA89E6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88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在研究实施过程中，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  <w:lang w:val="en-US" w:eastAsia="zh-CN"/>
        </w:rPr>
        <w:t>申办方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需要对已立项的临床研究项目进行变更的（包括但不限于研究方案修改、研究流程调整、研究者变更等），应当向我院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  <w:lang w:val="en-US" w:eastAsia="zh-CN"/>
        </w:rPr>
        <w:t>科技处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和伦理委员会报告，提交项目变更/修改申请材料，应说明变更/修改的具体内容、理由、预期影响及风险评估。对在研究目的、研究方法、主要研究终点、统计方法以及研究参与者等方面有重大实质修改时，应当重新进行科学性和伦理审查，以确保研究数据的完整性和可靠性，保护参与者的权益。有课题基金资助的临床研究，应同时满足相关课题管理要求。</w:t>
      </w:r>
    </w:p>
    <w:p w14:paraId="40D69B2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九、项目暂停/终止</w:t>
      </w:r>
    </w:p>
    <w:p w14:paraId="5A18588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88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  <w:lang w:val="en-US" w:eastAsia="zh-CN"/>
        </w:rPr>
        <w:t>申办方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暂停或终止临床研究的，应当向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  <w:lang w:val="en-US" w:eastAsia="zh-CN"/>
        </w:rPr>
        <w:t>科技处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和伦理委员会报告，提交项目暂停/终止申请材料，应说明原因、已完成进度。暂停或终止的干预性临床研究，已有参与者入组的，应当制定方案和计划，妥善保障已经入组参与者的权益。有课题基金资助的临床研究，应同时满足相关课题管理要求。</w:t>
      </w:r>
    </w:p>
    <w:p w14:paraId="75B1C4C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right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sz w:val="28"/>
          <w:szCs w:val="28"/>
          <w:shd w:val="clear" w:fill="FFFFFF"/>
        </w:rPr>
        <w:t>十、财务管理</w:t>
      </w:r>
    </w:p>
    <w:p w14:paraId="0979E63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88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在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  <w:lang w:val="en-US" w:eastAsia="zh-CN"/>
        </w:rPr>
        <w:t>通过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伦理审查后，签署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  <w:lang w:val="en-US" w:eastAsia="zh-CN"/>
        </w:rPr>
        <w:t>合作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协议。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  <w:lang w:val="en-US" w:eastAsia="zh-CN"/>
        </w:rPr>
        <w:t>申办方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将研究经费按合同约定的支付节点按时汇至医院账户</w:t>
      </w:r>
    </w:p>
    <w:p w14:paraId="45752FA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88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户名：徐州医科大学附属医院</w:t>
      </w:r>
    </w:p>
    <w:p w14:paraId="44B7995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88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账号：10230101040002600</w:t>
      </w:r>
    </w:p>
    <w:p w14:paraId="49BDD5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88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开户行：江苏省徐州市农业银行淮海路支行</w:t>
      </w:r>
    </w:p>
    <w:p w14:paraId="1ADC7E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88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经费到账后请及时联系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  <w:lang w:val="en-US" w:eastAsia="zh-CN"/>
        </w:rPr>
        <w:t>科技处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登记开票信息，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  <w:lang w:val="en-US" w:eastAsia="zh-CN"/>
        </w:rPr>
        <w:t>科技处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于次月15日向院财务处统一申请增值税普通发票。</w:t>
      </w:r>
    </w:p>
    <w:p w14:paraId="09B835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88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  <w:lang w:val="en-US" w:eastAsia="zh-CN"/>
        </w:rPr>
        <w:t>科技处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7"/>
          <w:sz w:val="28"/>
          <w:szCs w:val="28"/>
          <w:shd w:val="clear" w:fill="FFFFFF"/>
        </w:rPr>
        <w:t>将在OA“科研管理模块”为项目下拨经费，研究者应严格按照经费预算使用研究经费。</w:t>
      </w:r>
    </w:p>
    <w:p w14:paraId="4B7C3E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sz w:val="28"/>
          <w:szCs w:val="28"/>
          <w:shd w:val="clear" w:fill="FFFFFF"/>
        </w:rPr>
      </w:pPr>
    </w:p>
    <w:p w14:paraId="2263C48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sz w:val="28"/>
          <w:szCs w:val="28"/>
          <w:shd w:val="clear" w:fill="FFFFFF"/>
        </w:rPr>
      </w:pPr>
    </w:p>
    <w:p w14:paraId="16B8E12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2A2F35"/>
          <w:spacing w:val="0"/>
          <w:sz w:val="28"/>
          <w:szCs w:val="28"/>
          <w:shd w:val="clear" w:fill="FFFFFF"/>
        </w:rPr>
      </w:pPr>
    </w:p>
    <w:p w14:paraId="4EB2D84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  <w:shd w:val="clear" w:fill="FFFFFF"/>
        </w:rPr>
      </w:pPr>
    </w:p>
    <w:p w14:paraId="162E596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  <w:shd w:val="clear" w:fill="FFFFFF"/>
        </w:rPr>
        <w:t> </w:t>
      </w:r>
    </w:p>
    <w:p w14:paraId="43AFC52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A2F35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A2F35"/>
          <w:spacing w:val="0"/>
          <w:sz w:val="28"/>
          <w:szCs w:val="28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AA071DB">
      <w:pPr>
        <w:rPr>
          <w:sz w:val="28"/>
          <w:szCs w:val="28"/>
        </w:rPr>
      </w:pPr>
    </w:p>
    <w:p w14:paraId="4F9F9EA1">
      <w:pPr>
        <w:rPr>
          <w:sz w:val="28"/>
          <w:szCs w:val="28"/>
        </w:rPr>
      </w:pPr>
    </w:p>
    <w:p w14:paraId="510D25B9">
      <w:pPr>
        <w:rPr>
          <w:sz w:val="28"/>
          <w:szCs w:val="28"/>
        </w:rPr>
      </w:pPr>
    </w:p>
    <w:p w14:paraId="0E325A30">
      <w:pPr>
        <w:rPr>
          <w:sz w:val="28"/>
          <w:szCs w:val="28"/>
        </w:rPr>
      </w:pPr>
    </w:p>
    <w:p w14:paraId="52074E08"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申办方发起的临床研究运行简要流程图</w:t>
      </w:r>
    </w:p>
    <w:p w14:paraId="2111BB23">
      <w:pPr>
        <w:rPr>
          <w:sz w:val="28"/>
        </w:rPr>
      </w:pPr>
    </w:p>
    <w:p w14:paraId="3A9AB560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712E8567">
      <w:pPr>
        <w:bidi w:val="0"/>
        <w:rPr>
          <w:lang w:val="en-US" w:eastAsia="zh-CN"/>
        </w:rPr>
      </w:pPr>
    </w:p>
    <w:p w14:paraId="3AA92B9C">
      <w:pPr>
        <w:bidi w:val="0"/>
        <w:rPr>
          <w:lang w:val="en-US" w:eastAsia="zh-CN"/>
        </w:rPr>
      </w:pPr>
      <w:r>
        <w:drawing>
          <wp:inline distT="0" distB="0" distL="114300" distR="114300">
            <wp:extent cx="6106795" cy="6236335"/>
            <wp:effectExtent l="0" t="0" r="8255" b="12065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06795" cy="623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039F28">
      <w:pPr>
        <w:bidi w:val="0"/>
        <w:rPr>
          <w:lang w:val="en-US" w:eastAsia="zh-CN"/>
        </w:rPr>
      </w:pPr>
    </w:p>
    <w:p w14:paraId="08CCAE66">
      <w:pPr>
        <w:bidi w:val="0"/>
        <w:rPr>
          <w:lang w:val="en-US" w:eastAsia="zh-CN"/>
        </w:rPr>
      </w:pPr>
    </w:p>
    <w:p w14:paraId="3BDFD538">
      <w:pPr>
        <w:bidi w:val="0"/>
        <w:rPr>
          <w:lang w:val="en-US" w:eastAsia="zh-CN"/>
        </w:rPr>
      </w:pPr>
    </w:p>
    <w:p w14:paraId="1152A383">
      <w:pPr>
        <w:bidi w:val="0"/>
        <w:rPr>
          <w:lang w:val="en-US" w:eastAsia="zh-CN"/>
        </w:rPr>
      </w:pPr>
    </w:p>
    <w:p w14:paraId="77E89168">
      <w:pPr>
        <w:bidi w:val="0"/>
        <w:rPr>
          <w:lang w:val="en-US" w:eastAsia="zh-CN"/>
        </w:rPr>
      </w:pPr>
    </w:p>
    <w:p w14:paraId="516A2706">
      <w:pPr>
        <w:bidi w:val="0"/>
        <w:rPr>
          <w:lang w:val="en-US" w:eastAsia="zh-CN"/>
        </w:rPr>
      </w:pPr>
    </w:p>
    <w:p w14:paraId="58DE3BD8">
      <w:pPr>
        <w:bidi w:val="0"/>
        <w:rPr>
          <w:lang w:val="en-US" w:eastAsia="zh-CN"/>
        </w:rPr>
      </w:pPr>
    </w:p>
    <w:p w14:paraId="5A0FDEFC">
      <w:pPr>
        <w:bidi w:val="0"/>
        <w:rPr>
          <w:lang w:val="en-US" w:eastAsia="zh-CN"/>
        </w:rPr>
      </w:pPr>
    </w:p>
    <w:p w14:paraId="5B79D1CF">
      <w:pPr>
        <w:bidi w:val="0"/>
        <w:rPr>
          <w:lang w:val="en-US" w:eastAsia="zh-CN"/>
        </w:rPr>
      </w:pPr>
    </w:p>
    <w:p w14:paraId="041D0E65">
      <w:pPr>
        <w:bidi w:val="0"/>
        <w:rPr>
          <w:lang w:val="en-US" w:eastAsia="zh-CN"/>
        </w:rPr>
      </w:pPr>
    </w:p>
    <w:p w14:paraId="1E2C3B89">
      <w:pPr>
        <w:bidi w:val="0"/>
        <w:rPr>
          <w:lang w:val="en-US" w:eastAsia="zh-CN"/>
        </w:rPr>
      </w:pPr>
    </w:p>
    <w:p w14:paraId="3119710C">
      <w:pPr>
        <w:bidi w:val="0"/>
        <w:rPr>
          <w:lang w:val="en-US" w:eastAsia="zh-CN"/>
        </w:rPr>
      </w:pPr>
    </w:p>
    <w:p w14:paraId="3BC3582C">
      <w:pPr>
        <w:bidi w:val="0"/>
        <w:rPr>
          <w:lang w:val="en-US" w:eastAsia="zh-CN"/>
        </w:rPr>
      </w:pPr>
    </w:p>
    <w:p w14:paraId="64BEE24F">
      <w:pPr>
        <w:bidi w:val="0"/>
        <w:rPr>
          <w:rFonts w:hint="eastAsia"/>
          <w:b/>
          <w:bCs/>
          <w:lang w:val="en-US" w:eastAsia="zh-CN"/>
        </w:rPr>
      </w:pPr>
    </w:p>
    <w:p w14:paraId="1965A0F1">
      <w:pPr>
        <w:bidi w:val="0"/>
        <w:rPr>
          <w:lang w:val="en-US" w:eastAsia="zh-CN"/>
        </w:rPr>
      </w:pPr>
    </w:p>
    <w:p w14:paraId="37C044C0">
      <w:pPr>
        <w:bidi w:val="0"/>
        <w:rPr>
          <w:lang w:val="en-US" w:eastAsia="zh-CN"/>
        </w:rPr>
      </w:pPr>
    </w:p>
    <w:p w14:paraId="3A3397B0">
      <w:pPr>
        <w:bidi w:val="0"/>
        <w:rPr>
          <w:lang w:val="en-US" w:eastAsia="zh-CN"/>
        </w:rPr>
      </w:pPr>
    </w:p>
    <w:p w14:paraId="16A9B2C7">
      <w:pPr>
        <w:bidi w:val="0"/>
        <w:rPr>
          <w:lang w:val="en-US" w:eastAsia="zh-CN"/>
        </w:rPr>
      </w:pPr>
    </w:p>
    <w:p w14:paraId="72313CEA">
      <w:pPr>
        <w:bidi w:val="0"/>
        <w:rPr>
          <w:lang w:val="en-US" w:eastAsia="zh-CN"/>
        </w:rPr>
      </w:pPr>
    </w:p>
    <w:p w14:paraId="3D2AF958">
      <w:pPr>
        <w:tabs>
          <w:tab w:val="left" w:pos="1611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889C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D7485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D7485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E6F53"/>
    <w:rsid w:val="04C5565B"/>
    <w:rsid w:val="0A4E5C00"/>
    <w:rsid w:val="0CE11341"/>
    <w:rsid w:val="0E580907"/>
    <w:rsid w:val="15512FF8"/>
    <w:rsid w:val="16492FD4"/>
    <w:rsid w:val="16610551"/>
    <w:rsid w:val="19B37CCE"/>
    <w:rsid w:val="1A352FFD"/>
    <w:rsid w:val="1D3E4A4C"/>
    <w:rsid w:val="27766C84"/>
    <w:rsid w:val="289D3303"/>
    <w:rsid w:val="2AA449F7"/>
    <w:rsid w:val="31A06C90"/>
    <w:rsid w:val="31B17FD3"/>
    <w:rsid w:val="323548C0"/>
    <w:rsid w:val="33DF7047"/>
    <w:rsid w:val="343C6052"/>
    <w:rsid w:val="376E74D8"/>
    <w:rsid w:val="39802C67"/>
    <w:rsid w:val="40143398"/>
    <w:rsid w:val="402459C4"/>
    <w:rsid w:val="44F6292B"/>
    <w:rsid w:val="46401681"/>
    <w:rsid w:val="517B7E5B"/>
    <w:rsid w:val="55F61D5C"/>
    <w:rsid w:val="56025031"/>
    <w:rsid w:val="5B2E05DD"/>
    <w:rsid w:val="60842B54"/>
    <w:rsid w:val="65F421DA"/>
    <w:rsid w:val="663C2505"/>
    <w:rsid w:val="6D287908"/>
    <w:rsid w:val="6F6563A0"/>
    <w:rsid w:val="72D46637"/>
    <w:rsid w:val="74AF16B5"/>
    <w:rsid w:val="76A71B68"/>
    <w:rsid w:val="7A304514"/>
    <w:rsid w:val="7BA702F9"/>
    <w:rsid w:val="7C4A16AA"/>
    <w:rsid w:val="7EAC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../NUL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1811</Words>
  <Characters>1998</Characters>
  <Lines>0</Lines>
  <Paragraphs>0</Paragraphs>
  <TotalTime>3</TotalTime>
  <ScaleCrop>false</ScaleCrop>
  <LinksUpToDate>false</LinksUpToDate>
  <CharactersWithSpaces>2043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2023-11-06T03:01:00Z</dcterms:created>
  <dc:creator>Administrator</dc:creator>
  <cp:lastModifiedBy>张小婉</cp:lastModifiedBy>
  <cp:lastPrinted>2025-02-20T06:18:00Z</cp:lastPrinted>
  <dcterms:modified xsi:type="dcterms:W3CDTF">2025-07-26T17:47:56Z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1E541CF2708F46C39F9A51CFF9E12B37_12</vt:lpwstr>
  </property>
  <property fmtid="{D5CDD505-2E9C-101B-9397-08002B2CF9AE}" pid="4" name="KSOTemplateDocerSaveRecord">
    <vt:lpwstr>eyJoZGlkIjoiMjU3MTdjZDQ1MDIyZTY5MDQ2YjY4ZDVmNjRiMmI3YjkiLCJ1c2VySWQiOiI0MDIzNjg0MDAifQ==</vt:lpwstr>
  </property>
</Properties>
</file>