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闸机、门禁、消防监控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图书情报中心</w:t>
      </w:r>
      <w:r>
        <w:rPr>
          <w:rFonts w:hint="eastAsia"/>
          <w:sz w:val="28"/>
          <w:szCs w:val="28"/>
          <w:lang w:eastAsia="zh-CN"/>
        </w:rPr>
        <w:t>）</w:t>
      </w:r>
    </w:p>
    <w:p w14:paraId="096C2F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图书情报中心新馆建设，按照医院安保要求，需要增加监控摄像头10个，24小时自习室门禁一套、人脸闸机系统两套。科室门禁与闸机系统自行管理。</w:t>
      </w:r>
    </w:p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项目预算：48000元。</w:t>
      </w:r>
    </w:p>
    <w:p w14:paraId="121727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p w14:paraId="0C58158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包一</w:t>
      </w:r>
      <w:r>
        <w:rPr>
          <w:rFonts w:hint="eastAsia"/>
          <w:sz w:val="28"/>
          <w:szCs w:val="28"/>
          <w:lang w:val="en-US" w:eastAsia="zh-CN"/>
        </w:rPr>
        <w:t>：需新增监控摄像头10个，硬盘录像机一台及相应存储硬盘（存储时长与院内一致90天），并入医院安防监控网络。预算金额约27000元。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345"/>
        <w:gridCol w:w="945"/>
        <w:gridCol w:w="1112"/>
        <w:gridCol w:w="1134"/>
        <w:gridCol w:w="1560"/>
        <w:gridCol w:w="850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40870D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/>
          </w:tcPr>
          <w:p w14:paraId="6B3129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1345" w:type="dxa"/>
            <w:noWrap/>
          </w:tcPr>
          <w:p w14:paraId="6C17FA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945" w:type="dxa"/>
            <w:noWrap/>
          </w:tcPr>
          <w:p w14:paraId="793F45B2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12" w:type="dxa"/>
            <w:noWrap/>
          </w:tcPr>
          <w:p w14:paraId="1B531D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134" w:type="dxa"/>
            <w:noWrap/>
          </w:tcPr>
          <w:p w14:paraId="78612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560" w:type="dxa"/>
            <w:noWrap/>
          </w:tcPr>
          <w:p w14:paraId="770724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厂家/品牌</w:t>
            </w:r>
          </w:p>
        </w:tc>
        <w:tc>
          <w:tcPr>
            <w:tcW w:w="850" w:type="dxa"/>
            <w:noWrap/>
          </w:tcPr>
          <w:p w14:paraId="6FBE10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035AB9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noWrap/>
          </w:tcPr>
          <w:p w14:paraId="4F8083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监控摄像头</w:t>
            </w:r>
          </w:p>
        </w:tc>
        <w:tc>
          <w:tcPr>
            <w:tcW w:w="1345" w:type="dxa"/>
            <w:noWrap/>
          </w:tcPr>
          <w:p w14:paraId="4B33D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/>
          </w:tcPr>
          <w:p w14:paraId="0F349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10个</w:t>
            </w:r>
          </w:p>
        </w:tc>
        <w:tc>
          <w:tcPr>
            <w:tcW w:w="1112" w:type="dxa"/>
            <w:noWrap/>
          </w:tcPr>
          <w:p w14:paraId="403E378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134" w:type="dxa"/>
            <w:noWrap/>
          </w:tcPr>
          <w:p w14:paraId="7206CD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60" w:type="dxa"/>
            <w:noWrap/>
          </w:tcPr>
          <w:p w14:paraId="7C229DF7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</w:tcPr>
          <w:p w14:paraId="03FCB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</w:tbl>
    <w:p w14:paraId="41F5FCD1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供货期：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天，质保期：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 xml:space="preserve">    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4071E40B">
      <w:pPr>
        <w:spacing w:line="440" w:lineRule="exact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0000FF"/>
          <w:lang w:val="en-US" w:eastAsia="zh-CN"/>
        </w:rPr>
        <w:t>具体</w:t>
      </w:r>
      <w:r>
        <w:rPr>
          <w:rFonts w:hint="eastAsia" w:ascii="宋体" w:hAnsi="宋体" w:cs="宋体"/>
          <w:b/>
          <w:color w:val="0000FF"/>
        </w:rPr>
        <w:t>技术</w:t>
      </w:r>
      <w:bookmarkStart w:id="0" w:name="OLE_LINK14"/>
      <w:bookmarkEnd w:id="0"/>
      <w:r>
        <w:rPr>
          <w:rFonts w:hint="eastAsia" w:ascii="宋体" w:hAnsi="宋体" w:cs="宋体"/>
          <w:b/>
          <w:color w:val="0000FF"/>
        </w:rPr>
        <w:t>规格及参数要求</w:t>
      </w:r>
    </w:p>
    <w:p w14:paraId="2E03172C">
      <w:pPr>
        <w:pStyle w:val="11"/>
        <w:numPr>
          <w:numId w:val="0"/>
        </w:numPr>
        <w:spacing w:line="440" w:lineRule="exact"/>
        <w:rPr>
          <w:rFonts w:hint="eastAsia" w:ascii="宋体" w:hAnsi="宋体" w:cs="宋体"/>
          <w:b/>
          <w:bCs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bCs/>
          <w:color w:val="auto"/>
          <w:szCs w:val="24"/>
        </w:rPr>
        <w:t>半球摄像机技术规格和参数要求</w:t>
      </w:r>
    </w:p>
    <w:p w14:paraId="6616FE62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1.传感器分辨率≥</w:t>
      </w:r>
      <w:r>
        <w:rPr>
          <w:rFonts w:ascii="宋体" w:hAnsi="宋体" w:cs="宋体"/>
          <w:color w:val="auto"/>
          <w:szCs w:val="24"/>
        </w:rPr>
        <w:t>2560×1920</w:t>
      </w:r>
      <w:r>
        <w:rPr>
          <w:rFonts w:hint="eastAsia" w:ascii="宋体" w:hAnsi="宋体" w:cs="宋体"/>
          <w:color w:val="auto"/>
          <w:szCs w:val="24"/>
        </w:rPr>
        <w:t>；传感器靶面≥1/1.8"</w:t>
      </w:r>
    </w:p>
    <w:p w14:paraId="1B29EF23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2.内置≥1个CPU、GPU、NPU—体化芯片；</w:t>
      </w:r>
    </w:p>
    <w:p w14:paraId="32C7DD05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3.内置红外补光灯；最低照度，彩色：≤</w:t>
      </w:r>
      <w:r>
        <w:rPr>
          <w:rFonts w:ascii="宋体" w:hAnsi="宋体" w:cs="宋体"/>
          <w:color w:val="auto"/>
          <w:szCs w:val="24"/>
        </w:rPr>
        <w:t>0.005Lux</w:t>
      </w:r>
      <w:r>
        <w:rPr>
          <w:rFonts w:hint="eastAsia" w:ascii="宋体" w:hAnsi="宋体" w:cs="宋体"/>
          <w:color w:val="auto"/>
          <w:szCs w:val="24"/>
        </w:rPr>
        <w:t>，黑白：≤</w:t>
      </w:r>
      <w:r>
        <w:rPr>
          <w:rFonts w:ascii="宋体" w:hAnsi="宋体" w:cs="宋体"/>
          <w:color w:val="auto"/>
          <w:szCs w:val="24"/>
        </w:rPr>
        <w:t>0.0025Lux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7C729B9D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4.支持</w:t>
      </w:r>
      <w:r>
        <w:rPr>
          <w:rFonts w:ascii="宋体" w:hAnsi="宋体" w:cs="宋体"/>
          <w:color w:val="auto"/>
          <w:szCs w:val="24"/>
        </w:rPr>
        <w:t>智能分析功能（如：人员围拢、过线统计、区域入侵检测、越线检测、视频遮挡、场景变更、虚焦检测、徘徊检测、遗留检测、物品移走检测、移动侦测、区域进入/离开、停车侦测、目标检测），支持将智能分析结果传递至平台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53C8CB26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5.支持</w:t>
      </w:r>
      <w:r>
        <w:rPr>
          <w:rFonts w:ascii="宋体" w:hAnsi="宋体" w:cs="宋体"/>
          <w:color w:val="auto"/>
          <w:szCs w:val="24"/>
        </w:rPr>
        <w:t>在同一个视频画面中，最多可同时检测20个运动目标，可检测、跟踪、抓拍≥12个运动目标，目标抓拍率≥99%，支持对目标最佳抓拍图片（通过像素点最多、遮挡比例最小等条件判断）筛选去重，重复率≤1%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5926470C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6.具有不少于如下接口：</w:t>
      </w:r>
      <w:r>
        <w:rPr>
          <w:rFonts w:ascii="宋体" w:hAnsi="宋体" w:cs="宋体"/>
          <w:color w:val="auto"/>
          <w:szCs w:val="24"/>
        </w:rPr>
        <w:t>1个RJ45以太网口、1路音频输入、1个存储卡插槽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2C8073D3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7.供电方式：DC12V、POE；</w:t>
      </w:r>
    </w:p>
    <w:p w14:paraId="56E81EAC">
      <w:pPr>
        <w:spacing w:line="440" w:lineRule="exact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8.防护等级不低于：IP67；</w:t>
      </w:r>
    </w:p>
    <w:p w14:paraId="4E9C5DEF">
      <w:pPr>
        <w:pStyle w:val="11"/>
        <w:numPr>
          <w:numId w:val="0"/>
        </w:numPr>
        <w:spacing w:line="440" w:lineRule="exact"/>
        <w:rPr>
          <w:rFonts w:hint="eastAsia" w:ascii="宋体" w:hAnsi="宋体" w:cs="宋体"/>
          <w:b/>
          <w:bCs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auto"/>
          <w:szCs w:val="24"/>
        </w:rPr>
        <w:t>半球摄像机技术规格和参数要求</w:t>
      </w:r>
    </w:p>
    <w:p w14:paraId="5FCC7F47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1.传感器分辨率≥</w:t>
      </w:r>
      <w:r>
        <w:rPr>
          <w:rFonts w:ascii="宋体" w:hAnsi="宋体" w:cs="宋体"/>
          <w:color w:val="auto"/>
          <w:szCs w:val="24"/>
        </w:rPr>
        <w:t>1920×1080，帧率60/50/30/25fps可设置</w:t>
      </w:r>
      <w:r>
        <w:rPr>
          <w:rFonts w:hint="eastAsia" w:ascii="宋体" w:hAnsi="宋体" w:cs="宋体"/>
          <w:color w:val="auto"/>
          <w:szCs w:val="24"/>
        </w:rPr>
        <w:t>；传感器靶面≥1/1.8"</w:t>
      </w:r>
    </w:p>
    <w:p w14:paraId="6137FC67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2.内置红外补光灯；最低照度，彩色：≤</w:t>
      </w:r>
      <w:r>
        <w:rPr>
          <w:rFonts w:ascii="宋体" w:hAnsi="宋体" w:cs="宋体"/>
          <w:color w:val="auto"/>
          <w:szCs w:val="24"/>
        </w:rPr>
        <w:t>0.005Lux</w:t>
      </w:r>
      <w:r>
        <w:rPr>
          <w:rFonts w:hint="eastAsia" w:ascii="宋体" w:hAnsi="宋体" w:cs="宋体"/>
          <w:color w:val="auto"/>
          <w:szCs w:val="24"/>
        </w:rPr>
        <w:t>，黑白：≤</w:t>
      </w:r>
      <w:r>
        <w:rPr>
          <w:rFonts w:ascii="宋体" w:hAnsi="宋体" w:cs="宋体"/>
          <w:color w:val="auto"/>
          <w:szCs w:val="24"/>
        </w:rPr>
        <w:t>0.0005Lux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3BDADD5A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3.支持</w:t>
      </w:r>
      <w:r>
        <w:rPr>
          <w:rFonts w:ascii="宋体" w:hAnsi="宋体" w:cs="宋体"/>
          <w:color w:val="auto"/>
          <w:szCs w:val="24"/>
        </w:rPr>
        <w:t>具有智能分析功能（如区域入侵检测、越线检测、场景变更、虚焦检测、徘徊检测、遗留检测、物品移走检测、区域进入/离开区域检测），支持将分析结果传递至客户端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500A63E3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4.具有不少于如下接口：</w:t>
      </w:r>
      <w:r>
        <w:rPr>
          <w:rFonts w:ascii="宋体" w:hAnsi="宋体" w:cs="宋体"/>
          <w:color w:val="auto"/>
          <w:szCs w:val="24"/>
        </w:rPr>
        <w:t>1个RJ45以太网口</w:t>
      </w:r>
      <w:r>
        <w:rPr>
          <w:rFonts w:hint="eastAsia" w:ascii="宋体" w:hAnsi="宋体" w:cs="宋体"/>
          <w:color w:val="auto"/>
          <w:szCs w:val="24"/>
        </w:rPr>
        <w:t>；</w:t>
      </w:r>
    </w:p>
    <w:p w14:paraId="39A6CBCA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5.供电方式：DC12V、POE；</w:t>
      </w:r>
    </w:p>
    <w:p w14:paraId="4EE4D36E">
      <w:pPr>
        <w:spacing w:line="440" w:lineRule="exact"/>
        <w:rPr>
          <w:rFonts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6.防护等级不低于：IP66；</w:t>
      </w:r>
    </w:p>
    <w:p w14:paraId="71457544">
      <w:pPr>
        <w:spacing w:line="440" w:lineRule="exact"/>
        <w:rPr>
          <w:rFonts w:hint="eastAsia" w:ascii="宋体" w:hAnsi="宋体" w:cs="宋体"/>
          <w:b/>
          <w:bCs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  <w:lang w:val="en-US" w:eastAsia="zh-CN"/>
        </w:rPr>
        <w:t>3.</w:t>
      </w:r>
      <w:r>
        <w:rPr>
          <w:rFonts w:hint="eastAsia" w:ascii="宋体" w:hAnsi="宋体" w:cs="宋体"/>
          <w:b/>
          <w:bCs/>
          <w:color w:val="auto"/>
          <w:szCs w:val="24"/>
        </w:rPr>
        <w:t>硬盘录像机技术规格和参数要求</w:t>
      </w:r>
    </w:p>
    <w:p w14:paraId="07780E49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支持64路视频接入、存储和转发，最大接入带宽320Mbps；</w:t>
      </w:r>
    </w:p>
    <w:p w14:paraId="23C8BBA5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设备高度≤2U，支持8盘位，支持6TB/8TB/10TB/16T硬盘容量；</w:t>
      </w:r>
    </w:p>
    <w:p w14:paraId="5A0DF2AF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支持2路HDMI2.0和1路可外置转换线扩展VGA接口，支持1路音频输入输出接口，支持16路开关量输入和4路开关量输出；</w:t>
      </w:r>
    </w:p>
    <w:p w14:paraId="3193100B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ascii="宋体" w:hAnsi="宋体" w:cs="宋体"/>
          <w:color w:val="auto"/>
          <w:szCs w:val="24"/>
        </w:rPr>
        <w:t>支持以国标GB/T 28181、ONVIF协议、1400协议被平台接入，进行实时浏览、录像点播、云镜控制、告警上报等业务</w:t>
      </w:r>
      <w:r>
        <w:rPr>
          <w:rFonts w:hint="eastAsia" w:ascii="宋体" w:hAnsi="宋体" w:cs="宋体"/>
          <w:color w:val="auto"/>
          <w:szCs w:val="24"/>
        </w:rPr>
        <w:t>；</w:t>
      </w:r>
      <w:bookmarkStart w:id="1" w:name="_GoBack"/>
      <w:bookmarkEnd w:id="1"/>
    </w:p>
    <w:p w14:paraId="2E0F0BDF">
      <w:pPr>
        <w:spacing w:line="440" w:lineRule="exact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b/>
          <w:bCs/>
          <w:color w:val="auto"/>
          <w:szCs w:val="24"/>
        </w:rPr>
        <w:t>4.存储要求：</w:t>
      </w:r>
      <w:r>
        <w:rPr>
          <w:rFonts w:hint="eastAsia" w:ascii="宋体" w:hAnsi="宋体" w:cs="宋体"/>
          <w:color w:val="auto"/>
          <w:szCs w:val="24"/>
        </w:rPr>
        <w:t>本次建设监控系统平台需具备90天以上存储时长。</w:t>
      </w:r>
    </w:p>
    <w:p w14:paraId="08432584">
      <w:pPr>
        <w:spacing w:line="440" w:lineRule="exact"/>
        <w:ind w:firstLine="480"/>
        <w:rPr>
          <w:rFonts w:hint="eastAsia"/>
          <w:sz w:val="28"/>
          <w:szCs w:val="28"/>
        </w:rPr>
      </w:pPr>
    </w:p>
    <w:p w14:paraId="24485DD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包二</w:t>
      </w:r>
      <w:r>
        <w:rPr>
          <w:rFonts w:hint="eastAsia"/>
          <w:sz w:val="28"/>
          <w:szCs w:val="28"/>
          <w:lang w:val="en-US" w:eastAsia="zh-CN"/>
        </w:rPr>
        <w:t>：人脸闸机及系统两套，可视门禁一套。预算金额约21,000元。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345"/>
        <w:gridCol w:w="945"/>
        <w:gridCol w:w="1112"/>
        <w:gridCol w:w="1134"/>
        <w:gridCol w:w="1560"/>
        <w:gridCol w:w="850"/>
      </w:tblGrid>
      <w:tr w14:paraId="2B7F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3D5E75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/>
          </w:tcPr>
          <w:p w14:paraId="7001F2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1345" w:type="dxa"/>
            <w:noWrap/>
          </w:tcPr>
          <w:p w14:paraId="4D5A9A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945" w:type="dxa"/>
            <w:noWrap/>
          </w:tcPr>
          <w:p w14:paraId="02A3ED0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12" w:type="dxa"/>
            <w:noWrap/>
          </w:tcPr>
          <w:p w14:paraId="6A6CCE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134" w:type="dxa"/>
            <w:noWrap/>
          </w:tcPr>
          <w:p w14:paraId="1DAB48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560" w:type="dxa"/>
            <w:noWrap/>
          </w:tcPr>
          <w:p w14:paraId="68E56E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厂家/品牌</w:t>
            </w:r>
          </w:p>
        </w:tc>
        <w:tc>
          <w:tcPr>
            <w:tcW w:w="850" w:type="dxa"/>
            <w:noWrap/>
          </w:tcPr>
          <w:p w14:paraId="508DF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5D1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1B543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noWrap/>
          </w:tcPr>
          <w:p w14:paraId="3188E1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人脸闸机及系统</w:t>
            </w:r>
          </w:p>
        </w:tc>
        <w:tc>
          <w:tcPr>
            <w:tcW w:w="1345" w:type="dxa"/>
            <w:noWrap/>
          </w:tcPr>
          <w:p w14:paraId="6EFAD1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/>
          </w:tcPr>
          <w:p w14:paraId="72232B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1112" w:type="dxa"/>
            <w:noWrap/>
          </w:tcPr>
          <w:p w14:paraId="5801A537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134" w:type="dxa"/>
            <w:noWrap/>
          </w:tcPr>
          <w:p w14:paraId="063B48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60" w:type="dxa"/>
            <w:noWrap/>
          </w:tcPr>
          <w:p w14:paraId="54AC767D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850" w:type="dxa"/>
            <w:noWrap/>
          </w:tcPr>
          <w:p w14:paraId="6CA512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6259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noWrap/>
          </w:tcPr>
          <w:p w14:paraId="20074A50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noWrap/>
          </w:tcPr>
          <w:p w14:paraId="0680DB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可视门禁</w:t>
            </w:r>
          </w:p>
        </w:tc>
        <w:tc>
          <w:tcPr>
            <w:tcW w:w="1345" w:type="dxa"/>
            <w:noWrap/>
          </w:tcPr>
          <w:p w14:paraId="181399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noWrap/>
          </w:tcPr>
          <w:p w14:paraId="32ACC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112" w:type="dxa"/>
            <w:noWrap/>
          </w:tcPr>
          <w:p w14:paraId="1DA843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14:paraId="1142639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noWrap/>
          </w:tcPr>
          <w:p w14:paraId="026EFB1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/>
          </w:tcPr>
          <w:p w14:paraId="4EC637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</w:tbl>
    <w:p w14:paraId="3AF9591D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供货期：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天，质保期：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 xml:space="preserve">    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413E1E1C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color w:val="0000FF"/>
          <w:lang w:val="en-US" w:eastAsia="zh-CN"/>
        </w:rPr>
        <w:t>具体</w:t>
      </w:r>
      <w:r>
        <w:rPr>
          <w:rFonts w:hint="eastAsia" w:ascii="宋体" w:hAnsi="宋体" w:cs="宋体"/>
          <w:b/>
          <w:color w:val="0000FF"/>
        </w:rPr>
        <w:t>技术规格及参数要求</w:t>
      </w:r>
    </w:p>
    <w:p w14:paraId="7774DE81">
      <w:pPr>
        <w:rPr>
          <w:rFonts w:hint="eastAsia"/>
        </w:rPr>
      </w:pPr>
      <w:r>
        <w:rPr>
          <w:rFonts w:hint="eastAsia"/>
          <w:b/>
          <w:bCs/>
        </w:rPr>
        <w:t>门禁需求：</w:t>
      </w:r>
    </w:p>
    <w:p w14:paraId="2F929D70">
      <w:pPr>
        <w:rPr>
          <w:rFonts w:hint="eastAsia"/>
          <w:lang w:eastAsia="zh-CN"/>
        </w:rPr>
      </w:pPr>
      <w:r>
        <w:rPr>
          <w:rFonts w:hint="eastAsia"/>
        </w:rPr>
        <w:t>屏幕与摄像头 ：触摸显示屏 ，分辨率 不低于600*1024，200 万双目摄像头 ，支持星光级图像传感器，暗光环境下也能正常识别 。 认证方式 ：支持 人脸、IC 卡、手机 NFC、密码及指纹 认证，支持照片和视频防假，人脸验证准确率≥99%。存储容量 ：本地支持不低于 6000 张人脸库 、1 万张卡、3000 枚指纹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安全与联动 ：支持防拆报警、胁迫报警，可外接安全模块防止主机被恶意破坏，支持断网续传功能</w:t>
      </w:r>
      <w:r>
        <w:rPr>
          <w:rFonts w:hint="eastAsia"/>
          <w:lang w:eastAsia="zh-CN"/>
        </w:rPr>
        <w:t>。</w:t>
      </w:r>
    </w:p>
    <w:p w14:paraId="248B5DCE">
      <w:pPr>
        <w:rPr>
          <w:rFonts w:hint="eastAsia"/>
          <w:lang w:eastAsia="zh-CN"/>
        </w:rPr>
      </w:pPr>
    </w:p>
    <w:p w14:paraId="255B54DA"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闸机需求：</w:t>
      </w:r>
      <w:r>
        <w:rPr>
          <w:rFonts w:hint="eastAsia"/>
          <w:lang w:eastAsia="zh-CN"/>
        </w:rPr>
        <w:t xml:space="preserve">    </w:t>
      </w:r>
    </w:p>
    <w:p w14:paraId="0156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闸机机身：箱体采用304不锈钢材料，电机类型：采用直流无刷电机；具有以下功能：报警提示功能；防夹功能；防尾随功能；通行记忆功能；断电通行。多级防撞缓冲功能。通行方式选择：，可双向通行，也可根据人流量情况设定摆门开、关速度，提高设备工作效率；使用亚克力透明摆臂。</w:t>
      </w:r>
    </w:p>
    <w:p w14:paraId="0FD9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屏幕参数：使用触摸显示屏，屏幕分辨率不低于600*1024；</w:t>
      </w:r>
      <w:r>
        <w:rPr>
          <w:rFonts w:hint="eastAsia"/>
          <w:lang w:eastAsia="zh-CN"/>
        </w:rPr>
        <w:tab/>
      </w:r>
    </w:p>
    <w:p w14:paraId="738E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头参数：采用宽动态200万双目摄像头，在暗光或无光环境下人脸认证效果不受影响；基础认证：支持人脸、刷卡（IC卡、手机NFC卡、CPU卡序列号和加密内容、身份证卡序列号）、密码认证方式。支持后期扩展认证：可外接身份证尾插实现认证比对；可外接指纹尾插实现指纹识别；可外接二维码尾插实现更灵敏的二维码认证；支持单人多种方式组合认证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识别性能：支持单人或多人认证（最多5人同时认证）功能；支持照片、视频防假；1:N人脸认证速度＜0.2s，人脸验证准确率≥99%；人脸认证距离＞2m;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支持口罩检测模式，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认证时界面显示预览画面，显示认证人员的姓名、工号、人脸图片等信息； 支持后期扩展：外接安全模块、外接读卡器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1D93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可设置计划模板：支持常开、常闭时段管理； 存储容量：人脸库不低于1万、IC卡5万张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支持多重认证多个人员认证（人脸、刷卡等）通过后才开门； 非授权人员核验：支持软件下发非授权</w:t>
      </w:r>
    </w:p>
    <w:p w14:paraId="4204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人员信息，实现本地非授权人员核验，上报非授权人员认证事件；支持报警功能：支持防拆报警、门被外力开起报警、胁迫卡和胁迫密码报警、非授权人员报警等；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支持接入软件平台进行局域网集中管理，单机使用：设备可进行本地管理，支持本地注册人脸、查询、设置、管理设</w:t>
      </w:r>
    </w:p>
    <w:p w14:paraId="41AB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备参数等；支持手机及PC端Web操作，可进行人员管理、认证配置。</w:t>
      </w:r>
    </w:p>
    <w:p w14:paraId="50E508CC">
      <w:pPr>
        <w:spacing w:line="440" w:lineRule="exact"/>
        <w:ind w:firstLine="480"/>
        <w:rPr>
          <w:rFonts w:hint="eastAsia"/>
          <w:sz w:val="28"/>
          <w:szCs w:val="28"/>
        </w:rPr>
      </w:pPr>
    </w:p>
    <w:p w14:paraId="7628E7C3">
      <w:pPr>
        <w:spacing w:line="440" w:lineRule="exact"/>
        <w:ind w:firstLine="480"/>
        <w:rPr>
          <w:rFonts w:hint="eastAsia"/>
          <w:sz w:val="28"/>
          <w:szCs w:val="28"/>
        </w:rPr>
      </w:pPr>
    </w:p>
    <w:p w14:paraId="23DF74A1">
      <w:pPr>
        <w:ind w:firstLine="482" w:firstLineChars="200"/>
        <w:rPr>
          <w:rFonts w:hint="eastAsia"/>
          <w:b/>
          <w:sz w:val="24"/>
          <w:szCs w:val="24"/>
        </w:rPr>
      </w:pPr>
    </w:p>
    <w:p w14:paraId="2451843A">
      <w:pPr>
        <w:ind w:firstLine="482" w:firstLineChars="200"/>
        <w:rPr>
          <w:rFonts w:hint="default" w:eastAsiaTheme="minorEastAsia"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1、以上价格应包含包装费、运杂费、安装材料费、人工费用、调试费用、各种风险费、税金等一切费用。</w:t>
      </w:r>
      <w:r>
        <w:rPr>
          <w:rFonts w:hint="eastAsia"/>
          <w:color w:val="0000FF"/>
          <w:sz w:val="24"/>
          <w:szCs w:val="24"/>
          <w:lang w:val="en-US" w:eastAsia="zh-CN"/>
        </w:rPr>
        <w:t>请自行补充好报价表格内容，报哪个包填写清楚完整即可。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405677A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7D1918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textWrapping"/>
      </w: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63FBE5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573BF5FF">
      <w:pPr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5D923AC"/>
    <w:rsid w:val="0C180AE0"/>
    <w:rsid w:val="0D4915B0"/>
    <w:rsid w:val="0E1F3B11"/>
    <w:rsid w:val="10685F27"/>
    <w:rsid w:val="11CC190C"/>
    <w:rsid w:val="13764888"/>
    <w:rsid w:val="190E7118"/>
    <w:rsid w:val="1AC12F2F"/>
    <w:rsid w:val="1BA06EDC"/>
    <w:rsid w:val="1F716A9B"/>
    <w:rsid w:val="20537E44"/>
    <w:rsid w:val="249E6151"/>
    <w:rsid w:val="254D37F4"/>
    <w:rsid w:val="25D2705B"/>
    <w:rsid w:val="278A10D9"/>
    <w:rsid w:val="28A53763"/>
    <w:rsid w:val="2AE03FDF"/>
    <w:rsid w:val="2B5C77F7"/>
    <w:rsid w:val="2BDA62DB"/>
    <w:rsid w:val="2C26689F"/>
    <w:rsid w:val="2FB6581F"/>
    <w:rsid w:val="35287B35"/>
    <w:rsid w:val="35705F10"/>
    <w:rsid w:val="36291C10"/>
    <w:rsid w:val="38144CE4"/>
    <w:rsid w:val="3AE62D40"/>
    <w:rsid w:val="3B1B438D"/>
    <w:rsid w:val="3B693AC9"/>
    <w:rsid w:val="3C2231F2"/>
    <w:rsid w:val="449F2957"/>
    <w:rsid w:val="49F71EB5"/>
    <w:rsid w:val="4AB14E40"/>
    <w:rsid w:val="4D584C24"/>
    <w:rsid w:val="4D73501E"/>
    <w:rsid w:val="51D25117"/>
    <w:rsid w:val="52195128"/>
    <w:rsid w:val="524C1C0F"/>
    <w:rsid w:val="528874D4"/>
    <w:rsid w:val="55331F85"/>
    <w:rsid w:val="61B92BC3"/>
    <w:rsid w:val="63CF12EE"/>
    <w:rsid w:val="6E23363F"/>
    <w:rsid w:val="6F4B4506"/>
    <w:rsid w:val="78902E3E"/>
    <w:rsid w:val="7CF84C17"/>
    <w:rsid w:val="7D626F93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1049</Words>
  <Characters>1187</Characters>
  <Lines>3</Lines>
  <Paragraphs>1</Paragraphs>
  <TotalTime>2</TotalTime>
  <ScaleCrop>false</ScaleCrop>
  <LinksUpToDate>false</LinksUpToDate>
  <CharactersWithSpaces>1201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2026-05-13T00:52:23Z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0657EE1E4B134048A948BC86B00037DC_13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